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FD94" w14:textId="77777777" w:rsidR="007C017A" w:rsidRPr="007C017A" w:rsidRDefault="007C017A" w:rsidP="007C017A">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7C017A">
        <w:rPr>
          <w:rFonts w:ascii="Century Gothic" w:eastAsiaTheme="majorEastAsia" w:hAnsi="Century Gothic" w:cstheme="majorBidi"/>
          <w:iCs/>
          <w:sz w:val="22"/>
          <w:szCs w:val="22"/>
          <w:lang w:val="en-US"/>
        </w:rPr>
        <w:t xml:space="preserve">CEFR Companion Volume implementation toolbox </w:t>
      </w:r>
    </w:p>
    <w:p w14:paraId="43518F88" w14:textId="31B5E416" w:rsidR="00330E81" w:rsidRPr="007C017A" w:rsidRDefault="00A15673" w:rsidP="007C017A">
      <w:pPr>
        <w:pStyle w:val="Titl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contextualSpacing w:val="0"/>
        <w:jc w:val="center"/>
        <w:rPr>
          <w:rFonts w:ascii="Century Gothic" w:eastAsiaTheme="majorEastAsia" w:hAnsi="Century Gothic" w:cstheme="majorBidi"/>
          <w:b/>
          <w:iCs w:val="0"/>
          <w:color w:val="auto"/>
          <w:spacing w:val="-7"/>
        </w:rPr>
      </w:pPr>
      <w:r w:rsidRPr="007C017A">
        <w:rPr>
          <w:rFonts w:ascii="Century Gothic" w:eastAsiaTheme="majorEastAsia" w:hAnsi="Century Gothic" w:cstheme="majorBidi"/>
          <w:b/>
          <w:iCs w:val="0"/>
          <w:color w:val="auto"/>
          <w:spacing w:val="-7"/>
        </w:rPr>
        <w:t xml:space="preserve">Classroom activity 3: Strategies to explain a new concept, </w:t>
      </w:r>
      <w:r w:rsidRPr="007C017A">
        <w:rPr>
          <w:rFonts w:ascii="Century Gothic" w:eastAsiaTheme="majorEastAsia" w:hAnsi="Century Gothic" w:cstheme="majorBidi"/>
          <w:b/>
          <w:i/>
          <w:color w:val="auto"/>
          <w:spacing w:val="-7"/>
        </w:rPr>
        <w:t>Breaking down complicated information</w:t>
      </w:r>
    </w:p>
    <w:tbl>
      <w:tblPr>
        <w:tblStyle w:val="TableGrid"/>
        <w:tblW w:w="0" w:type="auto"/>
        <w:tblLook w:val="04A0" w:firstRow="1" w:lastRow="0" w:firstColumn="1" w:lastColumn="0" w:noHBand="0" w:noVBand="1"/>
      </w:tblPr>
      <w:tblGrid>
        <w:gridCol w:w="9016"/>
        <w:gridCol w:w="46"/>
      </w:tblGrid>
      <w:tr w:rsidR="00330E81" w14:paraId="2A2D5A0A" w14:textId="77777777">
        <w:trPr>
          <w:gridAfter w:val="1"/>
          <w:wAfter w:w="46" w:type="dxa"/>
        </w:trPr>
        <w:tc>
          <w:tcPr>
            <w:tcW w:w="9016" w:type="dxa"/>
          </w:tcPr>
          <w:p w14:paraId="2AFC3FEE" w14:textId="77777777" w:rsidR="00330E81" w:rsidRDefault="00A15673">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color w:val="auto"/>
                <w:sz w:val="22"/>
                <w:szCs w:val="22"/>
              </w:rPr>
              <w:t>Title: Preparing a presentation on the operation of the telecommunications system</w:t>
            </w:r>
          </w:p>
        </w:tc>
      </w:tr>
      <w:tr w:rsidR="00330E81" w14:paraId="75E2E0D9" w14:textId="77777777">
        <w:trPr>
          <w:gridAfter w:val="1"/>
          <w:wAfter w:w="46" w:type="dxa"/>
        </w:trPr>
        <w:tc>
          <w:tcPr>
            <w:tcW w:w="9016" w:type="dxa"/>
          </w:tcPr>
          <w:p w14:paraId="28E3FD89"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4D824AAF"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Target audience: Students of information and communications technology and telecommunications. </w:t>
            </w:r>
          </w:p>
          <w:p w14:paraId="1A77F438" w14:textId="77777777" w:rsidR="00330E81" w:rsidRDefault="00A15673">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CEFR Level: </w:t>
            </w:r>
            <w:r>
              <w:rPr>
                <w:sz w:val="22"/>
                <w:szCs w:val="22"/>
              </w:rPr>
              <w:tab/>
              <w:t xml:space="preserve">B2 </w:t>
            </w:r>
          </w:p>
          <w:p w14:paraId="06E0B741" w14:textId="77777777" w:rsidR="00330E81" w:rsidRDefault="00A15673">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Purpose: </w:t>
            </w:r>
            <w:r>
              <w:rPr>
                <w:sz w:val="22"/>
                <w:szCs w:val="22"/>
              </w:rPr>
              <w:tab/>
              <w:t>Teaching and assessment</w:t>
            </w:r>
          </w:p>
        </w:tc>
      </w:tr>
      <w:tr w:rsidR="00330E81" w14:paraId="6833DA55" w14:textId="77777777">
        <w:trPr>
          <w:gridAfter w:val="1"/>
          <w:wAfter w:w="46" w:type="dxa"/>
        </w:trPr>
        <w:tc>
          <w:tcPr>
            <w:tcW w:w="9016" w:type="dxa"/>
          </w:tcPr>
          <w:p w14:paraId="1BD8D36E"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sz w:val="22"/>
                <w:szCs w:val="22"/>
                <w:lang w:val="pl-PL"/>
              </w:rPr>
            </w:pPr>
            <w:r>
              <w:rPr>
                <w:sz w:val="22"/>
                <w:szCs w:val="22"/>
                <w:lang w:val="pl-PL"/>
              </w:rPr>
              <w:t xml:space="preserve">Authors: </w:t>
            </w:r>
            <w:r>
              <w:rPr>
                <w:sz w:val="22"/>
                <w:szCs w:val="22"/>
              </w:rPr>
              <w:tab/>
            </w:r>
            <w:r>
              <w:rPr>
                <w:sz w:val="22"/>
                <w:szCs w:val="22"/>
                <w:lang w:val="pl-PL"/>
              </w:rPr>
              <w:t>VITbox team</w:t>
            </w:r>
            <w:r>
              <w:rPr>
                <w:sz w:val="22"/>
                <w:szCs w:val="22"/>
                <w:lang w:val="pl-PL"/>
              </w:rPr>
              <w:tab/>
            </w:r>
          </w:p>
        </w:tc>
      </w:tr>
      <w:tr w:rsidR="00330E81" w14:paraId="039A6124" w14:textId="77777777">
        <w:tc>
          <w:tcPr>
            <w:tcW w:w="9062" w:type="dxa"/>
            <w:gridSpan w:val="2"/>
          </w:tcPr>
          <w:p w14:paraId="7FB61D1F"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Goals of the activity:</w:t>
            </w:r>
          </w:p>
          <w:p w14:paraId="08883656" w14:textId="77777777" w:rsidR="00330E81" w:rsidRDefault="00A156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breaking a process into a series of steps;</w:t>
            </w:r>
          </w:p>
          <w:p w14:paraId="6C992F52" w14:textId="77777777" w:rsidR="00330E81" w:rsidRDefault="00A156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presenting ideas or instructions as bullet points;</w:t>
            </w:r>
          </w:p>
          <w:p w14:paraId="4BB951D4" w14:textId="77777777" w:rsidR="00330E81" w:rsidRDefault="00A15673">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presenting separately the main points in a chain of argument.</w:t>
            </w:r>
          </w:p>
          <w:p w14:paraId="1F85015E"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0. Introduction.</w:t>
            </w:r>
          </w:p>
          <w:p w14:paraId="4C923456"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As a part of a larger project about the national telecommunications infrastructure students are asked to prepare presentations in teams on the operation of constituent parts of the system based on a series of texts provided by the teacher.</w:t>
            </w:r>
          </w:p>
          <w:p w14:paraId="20CEB27E"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7C017A">
              <w:rPr>
                <w:b/>
                <w:bCs w:val="0"/>
                <w:color w:val="auto"/>
                <w:sz w:val="22"/>
                <w:szCs w:val="22"/>
              </w:rPr>
              <w:t>1. Warm-up</w:t>
            </w:r>
          </w:p>
          <w:p w14:paraId="34A251D5"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The activity starts with a discussion on ways of demonstrating a complex system and its operation in the form of a presentation. The focus is on using different types of diagrams to present a process and how the text should be presented graphically in bullet points in a logical and coherent way. Students are also given an opportunity to practise the vocabulary and structures used for describing processes.</w:t>
            </w:r>
          </w:p>
          <w:p w14:paraId="2AD4EC27" w14:textId="1B62DA4B" w:rsidR="007C017A"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7C017A">
              <w:rPr>
                <w:b/>
                <w:bCs w:val="0"/>
                <w:color w:val="auto"/>
                <w:sz w:val="22"/>
                <w:szCs w:val="22"/>
              </w:rPr>
              <w:t>2. Task 1. Preparation</w:t>
            </w:r>
          </w:p>
          <w:p w14:paraId="36E10B02" w14:textId="14736ACD"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Reading texts about different parts of the telecommunications system, e. g. the cellular network, the satellite system, the computer network, the telephone landline network.</w:t>
            </w:r>
          </w:p>
          <w:p w14:paraId="72702A22"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 xml:space="preserve">Students are divided into teams which are supposed to prepare a fragment of the presentation devoted to the chosen network. They read respective texts and highlight the important information which will be useful for their part of the presentation. They are asked to think about the way the information can be presented in bullet points and how the processes can be transformed into a graphic form.  </w:t>
            </w:r>
          </w:p>
          <w:p w14:paraId="540D5575" w14:textId="77777777" w:rsidR="00330E81" w:rsidRDefault="00330E8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p>
          <w:p w14:paraId="1E945421"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7C017A">
              <w:rPr>
                <w:b/>
                <w:bCs w:val="0"/>
                <w:color w:val="auto"/>
                <w:sz w:val="22"/>
                <w:szCs w:val="22"/>
              </w:rPr>
              <w:lastRenderedPageBreak/>
              <w:t>3. Task 2. Transforming the information</w:t>
            </w:r>
          </w:p>
          <w:p w14:paraId="423A0C7A" w14:textId="3A5D347B"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The students are asked to prepare the slides and practise giving the presentation.</w:t>
            </w:r>
          </w:p>
          <w:p w14:paraId="47FD79BD"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b/>
                <w:color w:val="auto"/>
                <w:sz w:val="22"/>
                <w:szCs w:val="22"/>
              </w:rPr>
            </w:pPr>
            <w:r w:rsidRPr="007C017A">
              <w:rPr>
                <w:b/>
                <w:color w:val="auto"/>
                <w:sz w:val="22"/>
                <w:szCs w:val="22"/>
              </w:rPr>
              <w:t xml:space="preserve">4. Task 3: Presentations and peer feedback </w:t>
            </w:r>
          </w:p>
          <w:p w14:paraId="055D7885" w14:textId="24B3263B"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Students present the parts of the telecommunications system and explain how they work. The activity is followed by a class discussion and peer feedback on the ways the systems have been presented and the processes explained.</w:t>
            </w:r>
          </w:p>
          <w:p w14:paraId="6DE53E6F"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7C017A">
              <w:rPr>
                <w:b/>
                <w:bCs w:val="0"/>
                <w:color w:val="auto"/>
                <w:sz w:val="22"/>
                <w:szCs w:val="22"/>
              </w:rPr>
              <w:t>5. Task 4: Implementing newly gained skills in students’ own research and writing</w:t>
            </w:r>
          </w:p>
          <w:p w14:paraId="0E992A67" w14:textId="77777777" w:rsidR="00330E81" w:rsidRDefault="00A15673">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Students are then invited to prepare diagrams and/or charts of their own research data and present them in the following class.</w:t>
            </w:r>
          </w:p>
          <w:p w14:paraId="24FC717C" w14:textId="77777777" w:rsidR="00330E81" w:rsidRDefault="00330E81">
            <w:pPr>
              <w:pBdr>
                <w:top w:val="none" w:sz="0" w:space="0" w:color="auto"/>
                <w:left w:val="none" w:sz="0" w:space="0" w:color="auto"/>
                <w:bottom w:val="none" w:sz="0" w:space="0" w:color="auto"/>
                <w:right w:val="none" w:sz="0" w:space="0" w:color="auto"/>
                <w:between w:val="none" w:sz="0" w:space="0" w:color="auto"/>
              </w:pBdr>
              <w:spacing w:before="120"/>
              <w:rPr>
                <w:sz w:val="22"/>
                <w:szCs w:val="22"/>
              </w:rPr>
            </w:pPr>
          </w:p>
        </w:tc>
      </w:tr>
    </w:tbl>
    <w:p w14:paraId="548D534E" w14:textId="77777777" w:rsidR="00330E81" w:rsidRDefault="00330E81">
      <w:pPr>
        <w:spacing w:before="120"/>
        <w:rPr>
          <w:sz w:val="22"/>
          <w:szCs w:val="22"/>
        </w:rPr>
      </w:pPr>
    </w:p>
    <w:p w14:paraId="4CC1BE23"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
          <w:bCs w:val="0"/>
          <w:sz w:val="22"/>
          <w:szCs w:val="22"/>
        </w:rPr>
      </w:pPr>
      <w:bookmarkStart w:id="0" w:name="_Hlk100159479"/>
      <w:r w:rsidRPr="007C017A">
        <w:rPr>
          <w:b/>
          <w:bCs w:val="0"/>
          <w:sz w:val="22"/>
          <w:szCs w:val="22"/>
        </w:rPr>
        <w:t>Descriptors:</w:t>
      </w:r>
      <w:r w:rsidRPr="007C017A">
        <w:rPr>
          <w:rFonts w:ascii="Times New Roman" w:eastAsia="Times New Roman" w:hAnsi="Times New Roman" w:cs="Times New Roman"/>
          <w:b/>
          <w:bCs w:val="0"/>
          <w:iCs w:val="0"/>
          <w:sz w:val="23"/>
          <w:szCs w:val="22"/>
          <w:lang w:eastAsia="en-GB"/>
        </w:rPr>
        <w:t xml:space="preserve"> </w:t>
      </w:r>
      <w:r w:rsidRPr="007C017A">
        <w:rPr>
          <w:b/>
          <w:bCs w:val="0"/>
          <w:sz w:val="22"/>
          <w:szCs w:val="22"/>
        </w:rPr>
        <w:t>CEFR level B2</w:t>
      </w:r>
    </w:p>
    <w:tbl>
      <w:tblPr>
        <w:tblStyle w:val="TableGrid"/>
        <w:tblW w:w="0" w:type="auto"/>
        <w:tblLook w:val="04A0" w:firstRow="1" w:lastRow="0" w:firstColumn="1" w:lastColumn="0" w:noHBand="0" w:noVBand="1"/>
      </w:tblPr>
      <w:tblGrid>
        <w:gridCol w:w="4531"/>
        <w:gridCol w:w="4531"/>
      </w:tblGrid>
      <w:tr w:rsidR="00330E81" w14:paraId="717B3E7A" w14:textId="77777777">
        <w:tc>
          <w:tcPr>
            <w:tcW w:w="4531" w:type="dxa"/>
          </w:tcPr>
          <w:p w14:paraId="3FA826A5"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bookmarkStart w:id="1" w:name="_Hlk91661592"/>
            <w:r w:rsidRPr="007C017A">
              <w:rPr>
                <w:sz w:val="22"/>
                <w:szCs w:val="22"/>
              </w:rPr>
              <w:t xml:space="preserve">CEFR Descriptor Scheme: </w:t>
            </w:r>
          </w:p>
          <w:p w14:paraId="30DF714B"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Mediation/ Mediation strategies/Strategies to explain a new concept</w:t>
            </w:r>
          </w:p>
        </w:tc>
        <w:tc>
          <w:tcPr>
            <w:tcW w:w="4531" w:type="dxa"/>
          </w:tcPr>
          <w:p w14:paraId="070A0C90"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Scale:</w:t>
            </w:r>
          </w:p>
          <w:p w14:paraId="27909A46"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Breaking down complicated information</w:t>
            </w:r>
          </w:p>
        </w:tc>
      </w:tr>
      <w:tr w:rsidR="00330E81" w14:paraId="45A991D3" w14:textId="77777777">
        <w:tc>
          <w:tcPr>
            <w:tcW w:w="9062" w:type="dxa"/>
            <w:gridSpan w:val="2"/>
          </w:tcPr>
          <w:p w14:paraId="2018C05D"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 xml:space="preserve">Descriptors: </w:t>
            </w:r>
          </w:p>
          <w:p w14:paraId="709874F1"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Can make a complicated issue easier to understand by presenting the components of the argument separately.</w:t>
            </w:r>
          </w:p>
          <w:p w14:paraId="23CB347E" w14:textId="77777777" w:rsidR="00330E81" w:rsidRPr="007C017A" w:rsidRDefault="00A15673">
            <w:pPr>
              <w:pBdr>
                <w:top w:val="none" w:sz="0" w:space="0" w:color="auto"/>
                <w:left w:val="none" w:sz="0" w:space="0" w:color="auto"/>
                <w:bottom w:val="none" w:sz="0" w:space="0" w:color="auto"/>
                <w:right w:val="none" w:sz="0" w:space="0" w:color="auto"/>
                <w:between w:val="none" w:sz="0" w:space="0" w:color="auto"/>
              </w:pBdr>
              <w:jc w:val="left"/>
              <w:rPr>
                <w:sz w:val="22"/>
                <w:szCs w:val="22"/>
              </w:rPr>
            </w:pPr>
            <w:r w:rsidRPr="007C017A">
              <w:rPr>
                <w:sz w:val="22"/>
                <w:szCs w:val="22"/>
              </w:rPr>
              <w:t xml:space="preserve">Can make a complicated process easier to understand by breaking it down into a series of smaller steps. </w:t>
            </w:r>
            <w:bookmarkEnd w:id="0"/>
            <w:bookmarkEnd w:id="1"/>
          </w:p>
        </w:tc>
      </w:tr>
    </w:tbl>
    <w:p w14:paraId="154C3382" w14:textId="77777777" w:rsidR="00330E81" w:rsidRDefault="00330E81">
      <w:pPr>
        <w:spacing w:before="120"/>
      </w:pPr>
    </w:p>
    <w:sectPr w:rsidR="00330E81" w:rsidSect="002D401F">
      <w:headerReference w:type="default" r:id="rId7"/>
      <w:footerReference w:type="even" r:id="rId8"/>
      <w:footerReference w:type="default" r:id="rId9"/>
      <w:pgSz w:w="11906" w:h="16838"/>
      <w:pgMar w:top="1843" w:right="1417" w:bottom="1134" w:left="1417" w:header="284"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2E2C" w14:textId="77777777" w:rsidR="00330E81" w:rsidRDefault="00A15673">
      <w:pPr>
        <w:spacing w:after="0"/>
      </w:pPr>
      <w:r>
        <w:separator/>
      </w:r>
    </w:p>
  </w:endnote>
  <w:endnote w:type="continuationSeparator" w:id="0">
    <w:p w14:paraId="2FD32544" w14:textId="77777777" w:rsidR="00330E81" w:rsidRDefault="00A15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A0A16" w14:textId="79EB0FB2" w:rsidR="002D401F" w:rsidRDefault="002D401F" w:rsidP="002D401F">
    <w:pPr>
      <w:pStyle w:val="Footer"/>
      <w:jc w:val="right"/>
    </w:pPr>
    <w:r w:rsidRPr="008414FC">
      <w:rPr>
        <w:noProof/>
        <w:sz w:val="16"/>
        <w:szCs w:val="16"/>
      </w:rPr>
      <w:drawing>
        <wp:inline distT="0" distB="0" distL="0" distR="0" wp14:anchorId="49C609B0" wp14:editId="4D6E7FAD">
          <wp:extent cx="1572895" cy="535940"/>
          <wp:effectExtent l="0" t="0" r="8255" b="0"/>
          <wp:docPr id="436324176" name="Picture 43632417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850821"/>
      <w:docPartObj>
        <w:docPartGallery w:val="Page Numbers (Bottom of Page)"/>
        <w:docPartUnique/>
      </w:docPartObj>
    </w:sdtPr>
    <w:sdtEndPr/>
    <w:sdtContent>
      <w:p w14:paraId="04290F9F" w14:textId="77777777" w:rsidR="00330E81" w:rsidRDefault="00A15673">
        <w:pPr>
          <w:pStyle w:val="Footer"/>
          <w:jc w:val="right"/>
        </w:pPr>
        <w:r>
          <w:fldChar w:fldCharType="begin"/>
        </w:r>
        <w:r>
          <w:instrText xml:space="preserve"> PAGE   \* MERGEFORMAT </w:instrText>
        </w:r>
        <w:r>
          <w:fldChar w:fldCharType="separate"/>
        </w:r>
        <w:r>
          <w:t>2</w:t>
        </w:r>
        <w:r>
          <w:fldChar w:fldCharType="end"/>
        </w:r>
      </w:p>
    </w:sdtContent>
  </w:sdt>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2D401F" w:rsidRPr="008414FC" w14:paraId="2ABF8866" w14:textId="77777777" w:rsidTr="0030669C">
      <w:trPr>
        <w:trHeight w:val="574"/>
      </w:trPr>
      <w:tc>
        <w:tcPr>
          <w:tcW w:w="6947" w:type="dxa"/>
          <w:tcBorders>
            <w:top w:val="single" w:sz="4" w:space="0" w:color="auto"/>
          </w:tcBorders>
        </w:tcPr>
        <w:p w14:paraId="116FC7E6" w14:textId="77777777" w:rsidR="002D401F" w:rsidRPr="008414FC" w:rsidRDefault="002D401F" w:rsidP="002D401F">
          <w:pPr>
            <w:pStyle w:val="Footer1"/>
            <w:tabs>
              <w:tab w:val="clear" w:pos="9072"/>
            </w:tabs>
            <w:spacing w:before="120"/>
            <w:ind w:left="0"/>
            <w:jc w:val="left"/>
            <w:rPr>
              <w:rFonts w:cstheme="minorHAnsi"/>
              <w:i/>
              <w:iCs/>
              <w:color w:val="464646"/>
              <w:sz w:val="16"/>
              <w:szCs w:val="16"/>
              <w:shd w:val="clear" w:color="auto" w:fill="FFFFFF"/>
              <w:lang w:val="en-US"/>
            </w:rPr>
          </w:pPr>
          <w:bookmarkStart w:id="2" w:name="_Hlk151042701"/>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w:t>
          </w:r>
          <w:r w:rsidRPr="003411BA">
            <w:rPr>
              <w:rFonts w:cstheme="minorHAnsi"/>
              <w:color w:val="464646"/>
              <w:sz w:val="16"/>
              <w:szCs w:val="16"/>
              <w:shd w:val="clear" w:color="auto" w:fill="FFFFFF"/>
              <w:lang w:val="en-US"/>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lang w:val="en-US"/>
            </w:rPr>
            <w:t>.</w:t>
          </w:r>
          <w:r>
            <w:rPr>
              <w:rFonts w:cstheme="minorHAnsi"/>
              <w:i/>
              <w:iCs/>
              <w:color w:val="464646"/>
              <w:sz w:val="16"/>
              <w:szCs w:val="16"/>
              <w:shd w:val="clear" w:color="auto" w:fill="FFFFFF"/>
              <w:lang w:val="en-US"/>
            </w:rPr>
            <w:t xml:space="preserve"> </w:t>
          </w:r>
          <w:r w:rsidRPr="002A7F10">
            <w:rPr>
              <w:rFonts w:cstheme="minorHAnsi"/>
              <w:color w:val="0D0D0D" w:themeColor="text1" w:themeTint="F2"/>
              <w:sz w:val="16"/>
              <w:szCs w:val="16"/>
              <w:shd w:val="clear" w:color="auto" w:fill="FFFFFF"/>
              <w:lang w:val="en-US"/>
            </w:rPr>
            <w:t xml:space="preserve">Attribution: Original activity from Fischer Johann (et al.) </w:t>
          </w:r>
          <w:r w:rsidRPr="002A7F10">
            <w:rPr>
              <w:rFonts w:cstheme="minorHAnsi"/>
              <w:color w:val="0D0D0D" w:themeColor="text1" w:themeTint="F2"/>
              <w:sz w:val="16"/>
              <w:szCs w:val="16"/>
              <w:shd w:val="clear" w:color="auto" w:fill="FFFFFF"/>
            </w:rPr>
            <w:t>(2023),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085472AA" w14:textId="77777777" w:rsidR="002D401F" w:rsidRPr="008414FC" w:rsidRDefault="002D401F" w:rsidP="002D401F">
          <w:pPr>
            <w:pStyle w:val="Footer1"/>
            <w:tabs>
              <w:tab w:val="clear" w:pos="9072"/>
            </w:tabs>
            <w:ind w:left="0" w:right="-109"/>
            <w:jc w:val="left"/>
            <w:rPr>
              <w:sz w:val="16"/>
              <w:szCs w:val="16"/>
            </w:rPr>
          </w:pPr>
          <w:r w:rsidRPr="008414FC">
            <w:rPr>
              <w:noProof/>
              <w:sz w:val="16"/>
              <w:szCs w:val="16"/>
            </w:rPr>
            <w:drawing>
              <wp:inline distT="0" distB="0" distL="0" distR="0" wp14:anchorId="10E08414" wp14:editId="1037B0A3">
                <wp:extent cx="1572895" cy="535940"/>
                <wp:effectExtent l="0" t="0" r="8255" b="0"/>
                <wp:docPr id="465758336" name="Picture 4657583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2"/>
  </w:tbl>
  <w:p w14:paraId="26C93DF3" w14:textId="77777777" w:rsidR="00330E81" w:rsidRDefault="00330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D5C5C" w14:textId="77777777" w:rsidR="00330E81" w:rsidRDefault="00A15673">
      <w:pPr>
        <w:spacing w:after="0"/>
      </w:pPr>
      <w:r>
        <w:separator/>
      </w:r>
    </w:p>
  </w:footnote>
  <w:footnote w:type="continuationSeparator" w:id="0">
    <w:p w14:paraId="3CD1EE91" w14:textId="77777777" w:rsidR="00330E81" w:rsidRDefault="00A156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C1C6A" w14:textId="6A172887" w:rsidR="00330E81" w:rsidRDefault="007C017A" w:rsidP="002D401F">
    <w:pPr>
      <w:pStyle w:val="Header"/>
      <w:jc w:val="right"/>
    </w:pPr>
    <w:r>
      <w:rPr>
        <w:noProof/>
        <w:lang w:val="de-DE"/>
      </w:rPr>
      <w:drawing>
        <wp:inline distT="0" distB="0" distL="0" distR="0" wp14:anchorId="157ABF94" wp14:editId="21143FE6">
          <wp:extent cx="1304714" cy="842890"/>
          <wp:effectExtent l="0" t="0" r="0" b="0"/>
          <wp:docPr id="1010069322" name="Picture 1010069322"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AE1"/>
    <w:multiLevelType w:val="hybridMultilevel"/>
    <w:tmpl w:val="0D6E789C"/>
    <w:lvl w:ilvl="0" w:tplc="880CB58A">
      <w:start w:val="1"/>
      <w:numFmt w:val="bullet"/>
      <w:lvlText w:val=""/>
      <w:lvlJc w:val="left"/>
      <w:pPr>
        <w:ind w:left="720" w:hanging="360"/>
      </w:pPr>
      <w:rPr>
        <w:rFonts w:ascii="Symbol" w:hAnsi="Symbol" w:hint="default"/>
      </w:rPr>
    </w:lvl>
    <w:lvl w:ilvl="1" w:tplc="E67825C0">
      <w:start w:val="1"/>
      <w:numFmt w:val="bullet"/>
      <w:lvlText w:val="o"/>
      <w:lvlJc w:val="left"/>
      <w:pPr>
        <w:ind w:left="1440" w:hanging="360"/>
      </w:pPr>
      <w:rPr>
        <w:rFonts w:ascii="Courier New" w:hAnsi="Courier New" w:cs="Courier New" w:hint="default"/>
      </w:rPr>
    </w:lvl>
    <w:lvl w:ilvl="2" w:tplc="B07294F0">
      <w:start w:val="1"/>
      <w:numFmt w:val="bullet"/>
      <w:lvlText w:val=""/>
      <w:lvlJc w:val="left"/>
      <w:pPr>
        <w:ind w:left="2160" w:hanging="360"/>
      </w:pPr>
      <w:rPr>
        <w:rFonts w:ascii="Wingdings" w:hAnsi="Wingdings" w:hint="default"/>
      </w:rPr>
    </w:lvl>
    <w:lvl w:ilvl="3" w:tplc="67688A5E">
      <w:start w:val="1"/>
      <w:numFmt w:val="bullet"/>
      <w:lvlText w:val=""/>
      <w:lvlJc w:val="left"/>
      <w:pPr>
        <w:ind w:left="2880" w:hanging="360"/>
      </w:pPr>
      <w:rPr>
        <w:rFonts w:ascii="Symbol" w:hAnsi="Symbol" w:hint="default"/>
      </w:rPr>
    </w:lvl>
    <w:lvl w:ilvl="4" w:tplc="DA8854D2">
      <w:start w:val="1"/>
      <w:numFmt w:val="bullet"/>
      <w:lvlText w:val="o"/>
      <w:lvlJc w:val="left"/>
      <w:pPr>
        <w:ind w:left="3600" w:hanging="360"/>
      </w:pPr>
      <w:rPr>
        <w:rFonts w:ascii="Courier New" w:hAnsi="Courier New" w:cs="Courier New" w:hint="default"/>
      </w:rPr>
    </w:lvl>
    <w:lvl w:ilvl="5" w:tplc="7A06DBD2">
      <w:start w:val="1"/>
      <w:numFmt w:val="bullet"/>
      <w:lvlText w:val=""/>
      <w:lvlJc w:val="left"/>
      <w:pPr>
        <w:ind w:left="4320" w:hanging="360"/>
      </w:pPr>
      <w:rPr>
        <w:rFonts w:ascii="Wingdings" w:hAnsi="Wingdings" w:hint="default"/>
      </w:rPr>
    </w:lvl>
    <w:lvl w:ilvl="6" w:tplc="89EC98F4">
      <w:start w:val="1"/>
      <w:numFmt w:val="bullet"/>
      <w:lvlText w:val=""/>
      <w:lvlJc w:val="left"/>
      <w:pPr>
        <w:ind w:left="5040" w:hanging="360"/>
      </w:pPr>
      <w:rPr>
        <w:rFonts w:ascii="Symbol" w:hAnsi="Symbol" w:hint="default"/>
      </w:rPr>
    </w:lvl>
    <w:lvl w:ilvl="7" w:tplc="773A8E40">
      <w:start w:val="1"/>
      <w:numFmt w:val="bullet"/>
      <w:lvlText w:val="o"/>
      <w:lvlJc w:val="left"/>
      <w:pPr>
        <w:ind w:left="5760" w:hanging="360"/>
      </w:pPr>
      <w:rPr>
        <w:rFonts w:ascii="Courier New" w:hAnsi="Courier New" w:cs="Courier New" w:hint="default"/>
      </w:rPr>
    </w:lvl>
    <w:lvl w:ilvl="8" w:tplc="C3C2948E">
      <w:start w:val="1"/>
      <w:numFmt w:val="bullet"/>
      <w:lvlText w:val=""/>
      <w:lvlJc w:val="left"/>
      <w:pPr>
        <w:ind w:left="6480" w:hanging="360"/>
      </w:pPr>
      <w:rPr>
        <w:rFonts w:ascii="Wingdings" w:hAnsi="Wingdings" w:hint="default"/>
      </w:rPr>
    </w:lvl>
  </w:abstractNum>
  <w:abstractNum w:abstractNumId="1" w15:restartNumberingAfterBreak="0">
    <w:nsid w:val="459C26EA"/>
    <w:multiLevelType w:val="hybridMultilevel"/>
    <w:tmpl w:val="23528D60"/>
    <w:lvl w:ilvl="0" w:tplc="07F48BB2">
      <w:start w:val="1"/>
      <w:numFmt w:val="bullet"/>
      <w:lvlText w:val=""/>
      <w:lvlJc w:val="left"/>
      <w:pPr>
        <w:ind w:left="1485" w:hanging="360"/>
      </w:pPr>
      <w:rPr>
        <w:rFonts w:ascii="Symbol" w:hAnsi="Symbol" w:hint="default"/>
      </w:rPr>
    </w:lvl>
    <w:lvl w:ilvl="1" w:tplc="94340B90">
      <w:start w:val="1"/>
      <w:numFmt w:val="bullet"/>
      <w:lvlText w:val="o"/>
      <w:lvlJc w:val="left"/>
      <w:pPr>
        <w:ind w:left="2205" w:hanging="360"/>
      </w:pPr>
      <w:rPr>
        <w:rFonts w:ascii="Courier New" w:hAnsi="Courier New" w:cs="Courier New" w:hint="default"/>
      </w:rPr>
    </w:lvl>
    <w:lvl w:ilvl="2" w:tplc="1618FAA0">
      <w:start w:val="1"/>
      <w:numFmt w:val="bullet"/>
      <w:lvlText w:val=""/>
      <w:lvlJc w:val="left"/>
      <w:pPr>
        <w:ind w:left="2925" w:hanging="360"/>
      </w:pPr>
      <w:rPr>
        <w:rFonts w:ascii="Wingdings" w:hAnsi="Wingdings" w:hint="default"/>
      </w:rPr>
    </w:lvl>
    <w:lvl w:ilvl="3" w:tplc="83C0BE16">
      <w:start w:val="1"/>
      <w:numFmt w:val="bullet"/>
      <w:lvlText w:val=""/>
      <w:lvlJc w:val="left"/>
      <w:pPr>
        <w:ind w:left="3645" w:hanging="360"/>
      </w:pPr>
      <w:rPr>
        <w:rFonts w:ascii="Symbol" w:hAnsi="Symbol" w:hint="default"/>
      </w:rPr>
    </w:lvl>
    <w:lvl w:ilvl="4" w:tplc="CA62B7F8">
      <w:start w:val="1"/>
      <w:numFmt w:val="bullet"/>
      <w:lvlText w:val="o"/>
      <w:lvlJc w:val="left"/>
      <w:pPr>
        <w:ind w:left="4365" w:hanging="360"/>
      </w:pPr>
      <w:rPr>
        <w:rFonts w:ascii="Courier New" w:hAnsi="Courier New" w:cs="Courier New" w:hint="default"/>
      </w:rPr>
    </w:lvl>
    <w:lvl w:ilvl="5" w:tplc="592A2144">
      <w:start w:val="1"/>
      <w:numFmt w:val="bullet"/>
      <w:lvlText w:val=""/>
      <w:lvlJc w:val="left"/>
      <w:pPr>
        <w:ind w:left="5085" w:hanging="360"/>
      </w:pPr>
      <w:rPr>
        <w:rFonts w:ascii="Wingdings" w:hAnsi="Wingdings" w:hint="default"/>
      </w:rPr>
    </w:lvl>
    <w:lvl w:ilvl="6" w:tplc="7EFCF224">
      <w:start w:val="1"/>
      <w:numFmt w:val="bullet"/>
      <w:lvlText w:val=""/>
      <w:lvlJc w:val="left"/>
      <w:pPr>
        <w:ind w:left="5805" w:hanging="360"/>
      </w:pPr>
      <w:rPr>
        <w:rFonts w:ascii="Symbol" w:hAnsi="Symbol" w:hint="default"/>
      </w:rPr>
    </w:lvl>
    <w:lvl w:ilvl="7" w:tplc="14322188">
      <w:start w:val="1"/>
      <w:numFmt w:val="bullet"/>
      <w:lvlText w:val="o"/>
      <w:lvlJc w:val="left"/>
      <w:pPr>
        <w:ind w:left="6525" w:hanging="360"/>
      </w:pPr>
      <w:rPr>
        <w:rFonts w:ascii="Courier New" w:hAnsi="Courier New" w:cs="Courier New" w:hint="default"/>
      </w:rPr>
    </w:lvl>
    <w:lvl w:ilvl="8" w:tplc="BA0A9926">
      <w:start w:val="1"/>
      <w:numFmt w:val="bullet"/>
      <w:lvlText w:val=""/>
      <w:lvlJc w:val="left"/>
      <w:pPr>
        <w:ind w:left="7245" w:hanging="360"/>
      </w:pPr>
      <w:rPr>
        <w:rFonts w:ascii="Wingdings" w:hAnsi="Wingdings" w:hint="default"/>
      </w:rPr>
    </w:lvl>
  </w:abstractNum>
  <w:abstractNum w:abstractNumId="2" w15:restartNumberingAfterBreak="0">
    <w:nsid w:val="6673102E"/>
    <w:multiLevelType w:val="hybridMultilevel"/>
    <w:tmpl w:val="CEFC51FE"/>
    <w:lvl w:ilvl="0" w:tplc="0A62932E">
      <w:start w:val="1"/>
      <w:numFmt w:val="decimal"/>
      <w:pStyle w:val="Heading1"/>
      <w:lvlText w:val="%1."/>
      <w:lvlJc w:val="left"/>
      <w:pPr>
        <w:ind w:left="720" w:hanging="360"/>
      </w:pPr>
    </w:lvl>
    <w:lvl w:ilvl="1" w:tplc="FA3C5F68">
      <w:start w:val="1"/>
      <w:numFmt w:val="lowerLetter"/>
      <w:pStyle w:val="Heading2"/>
      <w:lvlText w:val="%2."/>
      <w:lvlJc w:val="left"/>
      <w:pPr>
        <w:ind w:left="1440" w:hanging="360"/>
      </w:pPr>
    </w:lvl>
    <w:lvl w:ilvl="2" w:tplc="73E69F02">
      <w:start w:val="1"/>
      <w:numFmt w:val="lowerRoman"/>
      <w:pStyle w:val="Heading3"/>
      <w:lvlText w:val="%3."/>
      <w:lvlJc w:val="right"/>
      <w:pPr>
        <w:ind w:left="2160" w:hanging="180"/>
      </w:pPr>
    </w:lvl>
    <w:lvl w:ilvl="3" w:tplc="8A6E2674">
      <w:start w:val="1"/>
      <w:numFmt w:val="decimal"/>
      <w:lvlText w:val="%4."/>
      <w:lvlJc w:val="left"/>
      <w:pPr>
        <w:ind w:left="2880" w:hanging="360"/>
      </w:pPr>
    </w:lvl>
    <w:lvl w:ilvl="4" w:tplc="9004555E">
      <w:start w:val="1"/>
      <w:numFmt w:val="lowerLetter"/>
      <w:pStyle w:val="Heading5"/>
      <w:lvlText w:val="%5."/>
      <w:lvlJc w:val="left"/>
      <w:pPr>
        <w:ind w:left="3600" w:hanging="360"/>
      </w:pPr>
    </w:lvl>
    <w:lvl w:ilvl="5" w:tplc="7A5E059C">
      <w:start w:val="1"/>
      <w:numFmt w:val="lowerRoman"/>
      <w:pStyle w:val="Heading6"/>
      <w:lvlText w:val="%6."/>
      <w:lvlJc w:val="right"/>
      <w:pPr>
        <w:ind w:left="4320" w:hanging="180"/>
      </w:pPr>
    </w:lvl>
    <w:lvl w:ilvl="6" w:tplc="7A06C734">
      <w:start w:val="1"/>
      <w:numFmt w:val="decimal"/>
      <w:pStyle w:val="Heading7"/>
      <w:lvlText w:val="%7."/>
      <w:lvlJc w:val="left"/>
      <w:pPr>
        <w:ind w:left="5040" w:hanging="360"/>
      </w:pPr>
    </w:lvl>
    <w:lvl w:ilvl="7" w:tplc="CD70CF04">
      <w:start w:val="1"/>
      <w:numFmt w:val="lowerLetter"/>
      <w:pStyle w:val="Heading8"/>
      <w:lvlText w:val="%8."/>
      <w:lvlJc w:val="left"/>
      <w:pPr>
        <w:ind w:left="5760" w:hanging="360"/>
      </w:pPr>
    </w:lvl>
    <w:lvl w:ilvl="8" w:tplc="4FFA9084">
      <w:start w:val="1"/>
      <w:numFmt w:val="lowerRoman"/>
      <w:pStyle w:val="Heading9"/>
      <w:lvlText w:val="%9."/>
      <w:lvlJc w:val="right"/>
      <w:pPr>
        <w:ind w:left="6480" w:hanging="180"/>
      </w:pPr>
    </w:lvl>
  </w:abstractNum>
  <w:abstractNum w:abstractNumId="3" w15:restartNumberingAfterBreak="0">
    <w:nsid w:val="75907759"/>
    <w:multiLevelType w:val="hybridMultilevel"/>
    <w:tmpl w:val="BB5EA370"/>
    <w:lvl w:ilvl="0" w:tplc="6DFAA3EA">
      <w:start w:val="1"/>
      <w:numFmt w:val="bullet"/>
      <w:lvlText w:val=""/>
      <w:lvlJc w:val="left"/>
      <w:pPr>
        <w:ind w:left="1080" w:hanging="360"/>
      </w:pPr>
      <w:rPr>
        <w:rFonts w:ascii="Symbol" w:hAnsi="Symbol" w:hint="default"/>
      </w:rPr>
    </w:lvl>
    <w:lvl w:ilvl="1" w:tplc="F25653C8">
      <w:start w:val="1"/>
      <w:numFmt w:val="bullet"/>
      <w:lvlText w:val="o"/>
      <w:lvlJc w:val="left"/>
      <w:pPr>
        <w:ind w:left="1800" w:hanging="360"/>
      </w:pPr>
      <w:rPr>
        <w:rFonts w:ascii="Courier New" w:hAnsi="Courier New" w:cs="Courier New" w:hint="default"/>
      </w:rPr>
    </w:lvl>
    <w:lvl w:ilvl="2" w:tplc="B92E8B8E">
      <w:start w:val="1"/>
      <w:numFmt w:val="bullet"/>
      <w:lvlText w:val=""/>
      <w:lvlJc w:val="left"/>
      <w:pPr>
        <w:ind w:left="2520" w:hanging="360"/>
      </w:pPr>
      <w:rPr>
        <w:rFonts w:ascii="Wingdings" w:hAnsi="Wingdings" w:hint="default"/>
      </w:rPr>
    </w:lvl>
    <w:lvl w:ilvl="3" w:tplc="4998AE2A">
      <w:start w:val="1"/>
      <w:numFmt w:val="bullet"/>
      <w:lvlText w:val=""/>
      <w:lvlJc w:val="left"/>
      <w:pPr>
        <w:ind w:left="3240" w:hanging="360"/>
      </w:pPr>
      <w:rPr>
        <w:rFonts w:ascii="Symbol" w:hAnsi="Symbol" w:hint="default"/>
      </w:rPr>
    </w:lvl>
    <w:lvl w:ilvl="4" w:tplc="24F42670">
      <w:start w:val="1"/>
      <w:numFmt w:val="bullet"/>
      <w:lvlText w:val="o"/>
      <w:lvlJc w:val="left"/>
      <w:pPr>
        <w:ind w:left="3960" w:hanging="360"/>
      </w:pPr>
      <w:rPr>
        <w:rFonts w:ascii="Courier New" w:hAnsi="Courier New" w:cs="Courier New" w:hint="default"/>
      </w:rPr>
    </w:lvl>
    <w:lvl w:ilvl="5" w:tplc="11A8CB32">
      <w:start w:val="1"/>
      <w:numFmt w:val="bullet"/>
      <w:lvlText w:val=""/>
      <w:lvlJc w:val="left"/>
      <w:pPr>
        <w:ind w:left="4680" w:hanging="360"/>
      </w:pPr>
      <w:rPr>
        <w:rFonts w:ascii="Wingdings" w:hAnsi="Wingdings" w:hint="default"/>
      </w:rPr>
    </w:lvl>
    <w:lvl w:ilvl="6" w:tplc="F0B88A04">
      <w:start w:val="1"/>
      <w:numFmt w:val="bullet"/>
      <w:lvlText w:val=""/>
      <w:lvlJc w:val="left"/>
      <w:pPr>
        <w:ind w:left="5400" w:hanging="360"/>
      </w:pPr>
      <w:rPr>
        <w:rFonts w:ascii="Symbol" w:hAnsi="Symbol" w:hint="default"/>
      </w:rPr>
    </w:lvl>
    <w:lvl w:ilvl="7" w:tplc="43604772">
      <w:start w:val="1"/>
      <w:numFmt w:val="bullet"/>
      <w:lvlText w:val="o"/>
      <w:lvlJc w:val="left"/>
      <w:pPr>
        <w:ind w:left="6120" w:hanging="360"/>
      </w:pPr>
      <w:rPr>
        <w:rFonts w:ascii="Courier New" w:hAnsi="Courier New" w:cs="Courier New" w:hint="default"/>
      </w:rPr>
    </w:lvl>
    <w:lvl w:ilvl="8" w:tplc="53987A42">
      <w:start w:val="1"/>
      <w:numFmt w:val="bullet"/>
      <w:lvlText w:val=""/>
      <w:lvlJc w:val="left"/>
      <w:pPr>
        <w:ind w:left="6840" w:hanging="360"/>
      </w:pPr>
      <w:rPr>
        <w:rFonts w:ascii="Wingdings" w:hAnsi="Wingdings" w:hint="default"/>
      </w:rPr>
    </w:lvl>
  </w:abstractNum>
  <w:num w:numId="1" w16cid:durableId="1253857687">
    <w:abstractNumId w:val="2"/>
  </w:num>
  <w:num w:numId="2" w16cid:durableId="950042414">
    <w:abstractNumId w:val="1"/>
  </w:num>
  <w:num w:numId="3" w16cid:durableId="941954018">
    <w:abstractNumId w:val="0"/>
  </w:num>
  <w:num w:numId="4" w16cid:durableId="59089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E81"/>
    <w:rsid w:val="001B4012"/>
    <w:rsid w:val="002D401F"/>
    <w:rsid w:val="00330E81"/>
    <w:rsid w:val="00752E8E"/>
    <w:rsid w:val="007C017A"/>
    <w:rsid w:val="00A15673"/>
    <w:rsid w:val="00BF7431"/>
    <w:rsid w:val="00C05667"/>
    <w:rsid w:val="00E4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66BE31"/>
  <w15:docId w15:val="{A5F20750-BCFD-4722-84E1-D242F4AD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lang w:val="en-GB"/>
    </w:r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lang w:val="en-GB"/>
    </w:rPr>
  </w:style>
  <w:style w:type="paragraph" w:customStyle="1" w:styleId="Footer1">
    <w:name w:val="Footer1"/>
    <w:basedOn w:val="Footer"/>
    <w:link w:val="footerChar0"/>
    <w:qFormat/>
    <w:rsid w:val="007C017A"/>
    <w:pPr>
      <w:pBdr>
        <w:top w:val="none" w:sz="0" w:space="0" w:color="auto"/>
        <w:left w:val="none" w:sz="0" w:space="0" w:color="auto"/>
        <w:bottom w:val="none" w:sz="0" w:space="0" w:color="auto"/>
        <w:right w:val="none" w:sz="0" w:space="0" w:color="auto"/>
        <w:between w:val="none" w:sz="0" w:space="0" w:color="auto"/>
      </w:pBd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7C017A"/>
    <w:rPr>
      <w:rFonts w:ascii="Arial" w:eastAsiaTheme="minorEastAsia" w:hAnsi="Arial" w:cs="Arial"/>
      <w:bCs w:val="0"/>
      <w:iCs w:val="0"/>
      <w:color w:val="000000"/>
      <w:sz w:val="18"/>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5</cp:revision>
  <dcterms:created xsi:type="dcterms:W3CDTF">2023-10-30T10:39:00Z</dcterms:created>
  <dcterms:modified xsi:type="dcterms:W3CDTF">2024-06-27T13:49:00Z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2d740f8b6f0051dea3a57d88d4449eaed2eda22ebd150ceafde57fad6b4c4c18</vt:lpwstr>
  </property>
</Properties>
</file>